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32" w:rsidRDefault="000F5132" w:rsidP="000F5132">
      <w:pPr>
        <w:pStyle w:val="a5"/>
        <w:spacing w:before="100" w:beforeAutospacing="1" w:after="100" w:afterAutospacing="1" w:line="420" w:lineRule="atLeast"/>
        <w:ind w:firstLine="480"/>
        <w:jc w:val="center"/>
        <w:rPr>
          <w:rFonts w:ascii="Arial" w:hAnsi="Arial" w:cs="Arial"/>
        </w:rPr>
      </w:pPr>
      <w:r>
        <w:rPr>
          <w:rFonts w:ascii="仿宋_GB2312" w:eastAsia="仿宋_GB2312" w:hAnsi="Arial" w:cs="Arial" w:hint="eastAsia"/>
          <w:color w:val="4C3339"/>
          <w:sz w:val="32"/>
          <w:szCs w:val="32"/>
        </w:rPr>
        <w:t>江源区人民法院</w:t>
      </w:r>
    </w:p>
    <w:p w:rsidR="000F5132" w:rsidRDefault="000F5132" w:rsidP="000F5132">
      <w:pPr>
        <w:pStyle w:val="a5"/>
        <w:spacing w:before="100" w:beforeAutospacing="1" w:after="100" w:afterAutospacing="1" w:line="420" w:lineRule="atLeast"/>
        <w:ind w:firstLine="480"/>
        <w:jc w:val="center"/>
        <w:rPr>
          <w:rFonts w:ascii="Arial" w:hAnsi="Arial" w:cs="Arial"/>
        </w:rPr>
      </w:pPr>
      <w:r>
        <w:rPr>
          <w:rFonts w:ascii="仿宋_GB2312" w:eastAsia="仿宋_GB2312" w:hAnsi="Arial" w:cs="Arial" w:hint="eastAsia"/>
          <w:color w:val="4C3339"/>
          <w:sz w:val="32"/>
          <w:szCs w:val="32"/>
        </w:rPr>
        <w:t>2020年</w:t>
      </w:r>
      <w:r w:rsidR="00933604">
        <w:rPr>
          <w:rFonts w:ascii="仿宋_GB2312" w:eastAsia="仿宋_GB2312" w:hAnsi="Arial" w:cs="Arial" w:hint="eastAsia"/>
          <w:color w:val="4C3339"/>
          <w:sz w:val="32"/>
          <w:szCs w:val="32"/>
        </w:rPr>
        <w:t>下</w:t>
      </w:r>
      <w:r>
        <w:rPr>
          <w:rFonts w:ascii="仿宋_GB2312" w:eastAsia="仿宋_GB2312" w:hAnsi="Arial" w:cs="Arial" w:hint="eastAsia"/>
          <w:color w:val="4C3339"/>
          <w:sz w:val="32"/>
          <w:szCs w:val="32"/>
        </w:rPr>
        <w:t>半年双百核查工作报告</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江源区人民法院对</w:t>
      </w:r>
      <w:r w:rsidR="00933604">
        <w:rPr>
          <w:rFonts w:ascii="仿宋_GB2312" w:eastAsia="仿宋_GB2312" w:hAnsi="Arial" w:cs="Arial" w:hint="eastAsia"/>
          <w:color w:val="4C3339"/>
          <w:sz w:val="32"/>
          <w:szCs w:val="32"/>
        </w:rPr>
        <w:t>下</w:t>
      </w:r>
      <w:r>
        <w:rPr>
          <w:rFonts w:ascii="仿宋_GB2312" w:eastAsia="仿宋_GB2312" w:hAnsi="Arial" w:cs="Arial" w:hint="eastAsia"/>
          <w:color w:val="4C3339"/>
          <w:sz w:val="32"/>
          <w:szCs w:val="32"/>
        </w:rPr>
        <w:t>半年生效后未上传至中国裁判文书网的裁判文书和文书信息进行全面排查，审判管理办公室严把裁判文书“放出口”，列出表格清单，通知承办法官及时进行操作，圆满完成了相关工作。现将相关情况报告如下。</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（一）裁判文书上网“双百”核查工作完成情况</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2020年</w:t>
      </w:r>
      <w:r w:rsidR="00933604">
        <w:rPr>
          <w:rFonts w:ascii="仿宋_GB2312" w:eastAsia="仿宋_GB2312" w:hAnsi="Arial" w:cs="Arial" w:hint="eastAsia"/>
          <w:color w:val="4C3339"/>
          <w:sz w:val="32"/>
          <w:szCs w:val="32"/>
        </w:rPr>
        <w:t>下</w:t>
      </w:r>
      <w:r>
        <w:rPr>
          <w:rFonts w:ascii="仿宋_GB2312" w:eastAsia="仿宋_GB2312" w:hAnsi="Arial" w:cs="Arial" w:hint="eastAsia"/>
          <w:color w:val="4C3339"/>
          <w:sz w:val="32"/>
          <w:szCs w:val="32"/>
        </w:rPr>
        <w:t>半年，江源法院共计结案</w:t>
      </w:r>
      <w:r w:rsidR="00933604">
        <w:rPr>
          <w:rFonts w:ascii="仿宋_GB2312" w:eastAsia="仿宋_GB2312" w:hAnsi="Arial" w:cs="Arial" w:hint="eastAsia"/>
          <w:color w:val="4C3339"/>
          <w:sz w:val="32"/>
          <w:szCs w:val="32"/>
        </w:rPr>
        <w:t>1132</w:t>
      </w:r>
      <w:r>
        <w:rPr>
          <w:rFonts w:ascii="仿宋_GB2312" w:eastAsia="仿宋_GB2312" w:hAnsi="Arial" w:cs="Arial" w:hint="eastAsia"/>
          <w:color w:val="4C3339"/>
          <w:sz w:val="32"/>
          <w:szCs w:val="32"/>
        </w:rPr>
        <w:t>件。公开裁判文书</w:t>
      </w:r>
      <w:r w:rsidR="00933604">
        <w:rPr>
          <w:rFonts w:ascii="仿宋_GB2312" w:eastAsia="仿宋_GB2312" w:hAnsi="Arial" w:cs="Arial" w:hint="eastAsia"/>
          <w:color w:val="4C3339"/>
          <w:sz w:val="32"/>
          <w:szCs w:val="32"/>
        </w:rPr>
        <w:t>853</w:t>
      </w:r>
      <w:r>
        <w:rPr>
          <w:rFonts w:ascii="仿宋_GB2312" w:eastAsia="仿宋_GB2312" w:hAnsi="Arial" w:cs="Arial" w:hint="eastAsia"/>
          <w:color w:val="4C3339"/>
          <w:sz w:val="32"/>
          <w:szCs w:val="32"/>
        </w:rPr>
        <w:t>件，不上网文书总数</w:t>
      </w:r>
      <w:r w:rsidR="00933604">
        <w:rPr>
          <w:rFonts w:ascii="仿宋_GB2312" w:eastAsia="仿宋_GB2312" w:hAnsi="Arial" w:cs="Arial" w:hint="eastAsia"/>
          <w:color w:val="4C3339"/>
          <w:sz w:val="32"/>
          <w:szCs w:val="32"/>
        </w:rPr>
        <w:t>219</w:t>
      </w:r>
      <w:r>
        <w:rPr>
          <w:rFonts w:ascii="仿宋_GB2312" w:eastAsia="仿宋_GB2312" w:hAnsi="Arial" w:cs="Arial" w:hint="eastAsia"/>
          <w:color w:val="4C3339"/>
          <w:sz w:val="32"/>
          <w:szCs w:val="32"/>
        </w:rPr>
        <w:t>件，非裁判文书数</w:t>
      </w:r>
      <w:r w:rsidR="00933604">
        <w:rPr>
          <w:rFonts w:ascii="仿宋_GB2312" w:eastAsia="仿宋_GB2312" w:hAnsi="Arial" w:cs="Arial" w:hint="eastAsia"/>
          <w:color w:val="4C3339"/>
          <w:sz w:val="32"/>
          <w:szCs w:val="32"/>
        </w:rPr>
        <w:t>33</w:t>
      </w:r>
      <w:r>
        <w:rPr>
          <w:rFonts w:ascii="仿宋_GB2312" w:eastAsia="仿宋_GB2312" w:hAnsi="Arial" w:cs="Arial" w:hint="eastAsia"/>
          <w:color w:val="4C3339"/>
          <w:sz w:val="32"/>
          <w:szCs w:val="32"/>
        </w:rPr>
        <w:t>件，上诉未生效文书</w:t>
      </w:r>
      <w:r w:rsidR="00933604">
        <w:rPr>
          <w:rFonts w:ascii="仿宋_GB2312" w:eastAsia="仿宋_GB2312" w:hAnsi="Arial" w:cs="Arial" w:hint="eastAsia"/>
          <w:color w:val="4C3339"/>
          <w:sz w:val="32"/>
          <w:szCs w:val="32"/>
        </w:rPr>
        <w:t>27</w:t>
      </w:r>
      <w:r>
        <w:rPr>
          <w:rFonts w:ascii="仿宋_GB2312" w:eastAsia="仿宋_GB2312" w:hAnsi="Arial" w:cs="Arial" w:hint="eastAsia"/>
          <w:color w:val="4C3339"/>
          <w:sz w:val="32"/>
          <w:szCs w:val="32"/>
        </w:rPr>
        <w:t>件。</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2020年</w:t>
      </w:r>
      <w:r w:rsidR="00933604">
        <w:rPr>
          <w:rFonts w:ascii="仿宋_GB2312" w:eastAsia="仿宋_GB2312" w:hAnsi="Arial" w:cs="Arial" w:hint="eastAsia"/>
          <w:color w:val="4C3339"/>
          <w:sz w:val="32"/>
          <w:szCs w:val="32"/>
        </w:rPr>
        <w:t>下</w:t>
      </w:r>
      <w:r>
        <w:rPr>
          <w:rFonts w:ascii="仿宋_GB2312" w:eastAsia="仿宋_GB2312" w:hAnsi="Arial" w:cs="Arial" w:hint="eastAsia"/>
          <w:color w:val="4C3339"/>
          <w:sz w:val="32"/>
          <w:szCs w:val="32"/>
        </w:rPr>
        <w:t>半年，江源法院生效裁判文书经审批不上网</w:t>
      </w:r>
      <w:r w:rsidR="00933604">
        <w:rPr>
          <w:rFonts w:ascii="仿宋_GB2312" w:eastAsia="仿宋_GB2312" w:hAnsi="Arial" w:cs="Arial" w:hint="eastAsia"/>
          <w:color w:val="4C3339"/>
          <w:sz w:val="32"/>
          <w:szCs w:val="32"/>
        </w:rPr>
        <w:t>219</w:t>
      </w:r>
      <w:r>
        <w:rPr>
          <w:rFonts w:ascii="仿宋_GB2312" w:eastAsia="仿宋_GB2312" w:hAnsi="Arial" w:cs="Arial" w:hint="eastAsia"/>
          <w:color w:val="4C3339"/>
          <w:sz w:val="32"/>
          <w:szCs w:val="32"/>
        </w:rPr>
        <w:t>件。其中，涉及国家秘密的0件、未成年人犯罪的</w:t>
      </w:r>
      <w:r w:rsidR="00933604">
        <w:rPr>
          <w:rFonts w:ascii="仿宋_GB2312" w:eastAsia="仿宋_GB2312" w:hAnsi="Arial" w:cs="Arial" w:hint="eastAsia"/>
          <w:color w:val="4C3339"/>
          <w:sz w:val="32"/>
          <w:szCs w:val="32"/>
        </w:rPr>
        <w:t>1</w:t>
      </w:r>
      <w:r>
        <w:rPr>
          <w:rFonts w:ascii="仿宋_GB2312" w:eastAsia="仿宋_GB2312" w:hAnsi="Arial" w:cs="Arial" w:hint="eastAsia"/>
          <w:color w:val="4C3339"/>
          <w:sz w:val="32"/>
          <w:szCs w:val="32"/>
        </w:rPr>
        <w:t>件、以调解方式结案的1</w:t>
      </w:r>
      <w:r w:rsidR="00933604">
        <w:rPr>
          <w:rFonts w:ascii="仿宋_GB2312" w:eastAsia="仿宋_GB2312" w:hAnsi="Arial" w:cs="Arial" w:hint="eastAsia"/>
          <w:color w:val="4C3339"/>
          <w:sz w:val="32"/>
          <w:szCs w:val="32"/>
        </w:rPr>
        <w:t>43</w:t>
      </w:r>
      <w:r>
        <w:rPr>
          <w:rFonts w:ascii="仿宋_GB2312" w:eastAsia="仿宋_GB2312" w:hAnsi="Arial" w:cs="Arial" w:hint="eastAsia"/>
          <w:color w:val="4C3339"/>
          <w:sz w:val="32"/>
          <w:szCs w:val="32"/>
        </w:rPr>
        <w:t>件、确认人民调解协议效力的</w:t>
      </w:r>
      <w:r w:rsidR="00933604">
        <w:rPr>
          <w:rFonts w:ascii="仿宋_GB2312" w:eastAsia="仿宋_GB2312" w:hAnsi="Arial" w:cs="Arial" w:hint="eastAsia"/>
          <w:color w:val="4C3339"/>
          <w:sz w:val="32"/>
          <w:szCs w:val="32"/>
        </w:rPr>
        <w:t>42</w:t>
      </w:r>
      <w:r>
        <w:rPr>
          <w:rFonts w:ascii="仿宋_GB2312" w:eastAsia="仿宋_GB2312" w:hAnsi="Arial" w:cs="Arial" w:hint="eastAsia"/>
          <w:color w:val="4C3339"/>
          <w:sz w:val="32"/>
          <w:szCs w:val="32"/>
        </w:rPr>
        <w:t>件、离婚诉讼涉及未成年子女抚养、监护的</w:t>
      </w:r>
      <w:r w:rsidR="00933604">
        <w:rPr>
          <w:rFonts w:ascii="仿宋_GB2312" w:eastAsia="仿宋_GB2312" w:hAnsi="Arial" w:cs="Arial" w:hint="eastAsia"/>
          <w:color w:val="4C3339"/>
          <w:sz w:val="32"/>
          <w:szCs w:val="32"/>
        </w:rPr>
        <w:t>32</w:t>
      </w:r>
      <w:r>
        <w:rPr>
          <w:rFonts w:ascii="仿宋_GB2312" w:eastAsia="仿宋_GB2312" w:hAnsi="Arial" w:cs="Arial" w:hint="eastAsia"/>
          <w:color w:val="4C3339"/>
          <w:sz w:val="32"/>
          <w:szCs w:val="32"/>
        </w:rPr>
        <w:t>件、人民法院认为不宜在互联网公布的其他情形</w:t>
      </w:r>
      <w:r w:rsidR="00933604">
        <w:rPr>
          <w:rFonts w:ascii="仿宋_GB2312" w:eastAsia="仿宋_GB2312" w:hAnsi="Arial" w:cs="Arial" w:hint="eastAsia"/>
          <w:color w:val="4C3339"/>
          <w:sz w:val="32"/>
          <w:szCs w:val="32"/>
        </w:rPr>
        <w:t>1</w:t>
      </w:r>
      <w:r>
        <w:rPr>
          <w:rFonts w:ascii="仿宋_GB2312" w:eastAsia="仿宋_GB2312" w:hAnsi="Arial" w:cs="Arial" w:hint="eastAsia"/>
          <w:color w:val="4C3339"/>
          <w:sz w:val="32"/>
          <w:szCs w:val="32"/>
        </w:rPr>
        <w:t>件。</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江源区法院裁判文书上网“双百”核查误差率为0 %，已达到省高院工作要求，实现上网裁判文书应当公开的全部公开，不应当公开的全部公示的目标。</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t>（二）下步工作打算</w:t>
      </w:r>
    </w:p>
    <w:p w:rsidR="000F5132" w:rsidRDefault="000F5132" w:rsidP="000F5132">
      <w:pPr>
        <w:pStyle w:val="a5"/>
        <w:spacing w:before="100" w:beforeAutospacing="1" w:after="100" w:afterAutospacing="1" w:line="420" w:lineRule="atLeast"/>
        <w:ind w:firstLine="480"/>
        <w:rPr>
          <w:rFonts w:ascii="Arial" w:hAnsi="Arial" w:cs="Arial"/>
        </w:rPr>
      </w:pPr>
      <w:r>
        <w:rPr>
          <w:rFonts w:ascii="仿宋_GB2312" w:eastAsia="仿宋_GB2312" w:hAnsi="Arial" w:cs="Arial" w:hint="eastAsia"/>
          <w:color w:val="4C3339"/>
          <w:sz w:val="32"/>
          <w:szCs w:val="32"/>
        </w:rPr>
        <w:lastRenderedPageBreak/>
        <w:t>202</w:t>
      </w:r>
      <w:r w:rsidR="00933604">
        <w:rPr>
          <w:rFonts w:ascii="仿宋_GB2312" w:eastAsia="仿宋_GB2312" w:hAnsi="Arial" w:cs="Arial" w:hint="eastAsia"/>
          <w:color w:val="4C3339"/>
          <w:sz w:val="32"/>
          <w:szCs w:val="32"/>
        </w:rPr>
        <w:t>1年上</w:t>
      </w:r>
      <w:r>
        <w:rPr>
          <w:rFonts w:ascii="仿宋_GB2312" w:eastAsia="仿宋_GB2312" w:hAnsi="Arial" w:cs="Arial" w:hint="eastAsia"/>
          <w:color w:val="4C3339"/>
          <w:sz w:val="32"/>
          <w:szCs w:val="32"/>
        </w:rPr>
        <w:t>半年，江源区人民法院将继续围绕裁判文书上网数量及裁判文书上网质量为核心，更加高质量、高效率的完成裁判文书上网工作</w:t>
      </w:r>
    </w:p>
    <w:p w:rsidR="00A93592" w:rsidRPr="00933604" w:rsidRDefault="00A93592"/>
    <w:sectPr w:rsidR="00A93592" w:rsidRPr="00933604" w:rsidSect="00781B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FD" w:rsidRDefault="00A32AFD" w:rsidP="000F5132">
      <w:r>
        <w:separator/>
      </w:r>
    </w:p>
  </w:endnote>
  <w:endnote w:type="continuationSeparator" w:id="1">
    <w:p w:rsidR="00A32AFD" w:rsidRDefault="00A32AFD" w:rsidP="000F5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FD" w:rsidRDefault="00A32AFD" w:rsidP="000F5132">
      <w:r>
        <w:separator/>
      </w:r>
    </w:p>
  </w:footnote>
  <w:footnote w:type="continuationSeparator" w:id="1">
    <w:p w:rsidR="00A32AFD" w:rsidRDefault="00A32AFD" w:rsidP="000F5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132"/>
    <w:rsid w:val="000F5132"/>
    <w:rsid w:val="00781B47"/>
    <w:rsid w:val="00933604"/>
    <w:rsid w:val="00A32AFD"/>
    <w:rsid w:val="00A53CAF"/>
    <w:rsid w:val="00A93592"/>
    <w:rsid w:val="00C3434F"/>
    <w:rsid w:val="00D55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5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5132"/>
    <w:rPr>
      <w:sz w:val="18"/>
      <w:szCs w:val="18"/>
    </w:rPr>
  </w:style>
  <w:style w:type="paragraph" w:styleId="a4">
    <w:name w:val="footer"/>
    <w:basedOn w:val="a"/>
    <w:link w:val="Char0"/>
    <w:uiPriority w:val="99"/>
    <w:semiHidden/>
    <w:unhideWhenUsed/>
    <w:rsid w:val="000F51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5132"/>
    <w:rPr>
      <w:sz w:val="18"/>
      <w:szCs w:val="18"/>
    </w:rPr>
  </w:style>
  <w:style w:type="paragraph" w:styleId="a5">
    <w:name w:val="Normal (Web)"/>
    <w:basedOn w:val="a"/>
    <w:uiPriority w:val="99"/>
    <w:semiHidden/>
    <w:unhideWhenUsed/>
    <w:rsid w:val="000F5132"/>
    <w:pPr>
      <w:widowControl/>
      <w:spacing w:before="75" w:after="7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055785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jyfy</dc:creator>
  <cp:lastModifiedBy>jyfy</cp:lastModifiedBy>
  <cp:revision>2</cp:revision>
  <dcterms:created xsi:type="dcterms:W3CDTF">2021-04-15T02:55:00Z</dcterms:created>
  <dcterms:modified xsi:type="dcterms:W3CDTF">2021-04-15T02:55:00Z</dcterms:modified>
</cp:coreProperties>
</file>